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133D" w14:textId="34E5DFBE" w:rsidR="00B951EC" w:rsidRPr="001A307E" w:rsidRDefault="001A307E">
      <w:pPr>
        <w:rPr>
          <w:rFonts w:ascii="Open Sans" w:hAnsi="Open Sans" w:cs="Open Sans"/>
          <w:b/>
          <w:sz w:val="40"/>
          <w:szCs w:val="40"/>
        </w:rPr>
      </w:pPr>
      <w:r w:rsidRPr="001A307E">
        <w:rPr>
          <w:rFonts w:ascii="Open Sans" w:hAnsi="Open Sans" w:cs="Open Sans"/>
          <w:b/>
          <w:sz w:val="40"/>
          <w:szCs w:val="40"/>
        </w:rPr>
        <w:t xml:space="preserve">Parish Report – </w:t>
      </w:r>
      <w:r w:rsidR="001F2A6F">
        <w:rPr>
          <w:rFonts w:ascii="Open Sans" w:hAnsi="Open Sans" w:cs="Open Sans"/>
          <w:b/>
          <w:sz w:val="40"/>
          <w:szCs w:val="40"/>
        </w:rPr>
        <w:t>May</w:t>
      </w:r>
      <w:r w:rsidR="00B50B2D">
        <w:rPr>
          <w:rFonts w:ascii="Open Sans" w:hAnsi="Open Sans" w:cs="Open Sans"/>
          <w:b/>
          <w:sz w:val="40"/>
          <w:szCs w:val="40"/>
        </w:rPr>
        <w:t xml:space="preserve"> </w:t>
      </w:r>
      <w:r w:rsidRPr="001A307E">
        <w:rPr>
          <w:rFonts w:ascii="Open Sans" w:hAnsi="Open Sans" w:cs="Open Sans"/>
          <w:b/>
          <w:sz w:val="40"/>
          <w:szCs w:val="40"/>
        </w:rPr>
        <w:t>202</w:t>
      </w:r>
      <w:r w:rsidR="00FF5E8D">
        <w:rPr>
          <w:rFonts w:ascii="Open Sans" w:hAnsi="Open Sans" w:cs="Open Sans"/>
          <w:b/>
          <w:sz w:val="40"/>
          <w:szCs w:val="40"/>
        </w:rPr>
        <w:t>5</w:t>
      </w:r>
    </w:p>
    <w:p w14:paraId="3D03F256" w14:textId="77777777" w:rsidR="001A307E" w:rsidRPr="0029383B" w:rsidRDefault="001A307E" w:rsidP="001A307E">
      <w:pPr>
        <w:spacing w:after="0"/>
        <w:rPr>
          <w:rFonts w:ascii="Open Sans" w:hAnsi="Open Sans" w:cs="Open Sans"/>
        </w:rPr>
      </w:pPr>
      <w:r w:rsidRPr="0029383B">
        <w:rPr>
          <w:rFonts w:ascii="Open Sans" w:hAnsi="Open Sans" w:cs="Open Sans"/>
        </w:rPr>
        <w:t>Councillor Nicky Willshere</w:t>
      </w:r>
      <w:r w:rsidRPr="0029383B">
        <w:rPr>
          <w:rFonts w:ascii="Open Sans" w:hAnsi="Open Sans" w:cs="Open Sans"/>
        </w:rPr>
        <w:tab/>
      </w:r>
      <w:r w:rsidRPr="0029383B">
        <w:rPr>
          <w:rFonts w:ascii="Open Sans" w:hAnsi="Open Sans" w:cs="Open Sans"/>
        </w:rPr>
        <w:tab/>
      </w:r>
      <w:r w:rsidR="0029383B">
        <w:rPr>
          <w:rFonts w:ascii="Open Sans" w:hAnsi="Open Sans" w:cs="Open Sans"/>
        </w:rPr>
        <w:tab/>
      </w:r>
      <w:r w:rsidRPr="0029383B">
        <w:rPr>
          <w:rFonts w:ascii="Open Sans" w:hAnsi="Open Sans" w:cs="Open Sans"/>
        </w:rPr>
        <w:t xml:space="preserve">Email: </w:t>
      </w:r>
      <w:hyperlink r:id="rId7" w:history="1">
        <w:r w:rsidRPr="0029383B">
          <w:rPr>
            <w:rStyle w:val="Hyperlink"/>
            <w:rFonts w:ascii="Open Sans" w:hAnsi="Open Sans" w:cs="Open Sans"/>
          </w:rPr>
          <w:t>Nicky.Willshere@Midsuffolk.gov.uk</w:t>
        </w:r>
      </w:hyperlink>
      <w:r w:rsidRPr="0029383B">
        <w:rPr>
          <w:rFonts w:ascii="Open Sans" w:hAnsi="Open Sans" w:cs="Open Sans"/>
        </w:rPr>
        <w:t xml:space="preserve"> </w:t>
      </w:r>
    </w:p>
    <w:p w14:paraId="5B74ABA7" w14:textId="77777777" w:rsidR="001A307E" w:rsidRPr="0029383B" w:rsidRDefault="001A307E" w:rsidP="001A307E">
      <w:pPr>
        <w:spacing w:after="0"/>
        <w:rPr>
          <w:rFonts w:ascii="Open Sans" w:hAnsi="Open Sans" w:cs="Open Sans"/>
        </w:rPr>
      </w:pPr>
      <w:r w:rsidRPr="0029383B">
        <w:rPr>
          <w:rFonts w:ascii="Open Sans" w:hAnsi="Open Sans" w:cs="Open Sans"/>
        </w:rPr>
        <w:t>Rattlesden Ward</w:t>
      </w:r>
      <w:r w:rsidRPr="0029383B">
        <w:rPr>
          <w:rFonts w:ascii="Open Sans" w:hAnsi="Open Sans" w:cs="Open Sans"/>
        </w:rPr>
        <w:tab/>
      </w:r>
      <w:r w:rsidRPr="0029383B">
        <w:rPr>
          <w:rFonts w:ascii="Open Sans" w:hAnsi="Open Sans" w:cs="Open Sans"/>
        </w:rPr>
        <w:tab/>
      </w:r>
      <w:r w:rsidRPr="0029383B">
        <w:rPr>
          <w:rFonts w:ascii="Open Sans" w:hAnsi="Open Sans" w:cs="Open Sans"/>
        </w:rPr>
        <w:tab/>
      </w:r>
      <w:r w:rsidR="00B15012" w:rsidRPr="0029383B">
        <w:rPr>
          <w:rFonts w:ascii="Open Sans" w:hAnsi="Open Sans" w:cs="Open Sans"/>
        </w:rPr>
        <w:tab/>
      </w:r>
      <w:r w:rsidRPr="0029383B">
        <w:rPr>
          <w:rFonts w:ascii="Open Sans" w:hAnsi="Open Sans" w:cs="Open Sans"/>
        </w:rPr>
        <w:t>Mobile: 07793610542</w:t>
      </w:r>
    </w:p>
    <w:p w14:paraId="25E9FA6A" w14:textId="77777777" w:rsidR="00B548BC" w:rsidRPr="00EB1063" w:rsidRDefault="00B548BC" w:rsidP="00FB5C8E">
      <w:pPr>
        <w:pBdr>
          <w:bottom w:val="single" w:sz="4" w:space="1" w:color="auto"/>
        </w:pBdr>
        <w:spacing w:after="0" w:line="240" w:lineRule="auto"/>
        <w:rPr>
          <w:rFonts w:ascii="Open Sans" w:hAnsi="Open Sans" w:cs="Open Sans"/>
        </w:rPr>
      </w:pPr>
    </w:p>
    <w:p w14:paraId="1C3878B2" w14:textId="77777777" w:rsidR="00C625D9" w:rsidRPr="00EB1063" w:rsidRDefault="00C625D9" w:rsidP="00FB5C8E">
      <w:pPr>
        <w:spacing w:after="0"/>
        <w:rPr>
          <w:rFonts w:ascii="Open Sans" w:hAnsi="Open Sans" w:cs="Open Sans"/>
        </w:rPr>
      </w:pPr>
    </w:p>
    <w:p w14:paraId="798485A7" w14:textId="1833CB59" w:rsidR="00C06CDC" w:rsidRDefault="00C06CDC" w:rsidP="00C06CDC">
      <w:pPr>
        <w:spacing w:line="252" w:lineRule="auto"/>
        <w:rPr>
          <w:rFonts w:ascii="Open Sans" w:eastAsia="Times New Roman" w:hAnsi="Open Sans" w:cs="Open Sans"/>
          <w:b/>
          <w:color w:val="000000"/>
          <w:lang w:eastAsia="en-GB"/>
        </w:rPr>
      </w:pPr>
      <w:r>
        <w:rPr>
          <w:rFonts w:ascii="Open Sans" w:eastAsia="Times New Roman" w:hAnsi="Open Sans" w:cs="Open Sans"/>
          <w:b/>
          <w:color w:val="000000"/>
          <w:lang w:eastAsia="en-GB"/>
        </w:rPr>
        <w:t>L</w:t>
      </w:r>
      <w:r w:rsidRPr="00C06CDC">
        <w:rPr>
          <w:rFonts w:ascii="Open Sans" w:eastAsia="Times New Roman" w:hAnsi="Open Sans" w:cs="Open Sans"/>
          <w:b/>
          <w:color w:val="000000"/>
          <w:lang w:eastAsia="en-GB"/>
        </w:rPr>
        <w:t>ocal government reform and devolution</w:t>
      </w:r>
    </w:p>
    <w:p w14:paraId="7D1A9354" w14:textId="62147008" w:rsidR="001F2A6F" w:rsidRDefault="001F2A6F" w:rsidP="00C06CDC">
      <w:pPr>
        <w:spacing w:line="252" w:lineRule="auto"/>
        <w:rPr>
          <w:rFonts w:ascii="Open Sans" w:eastAsia="Times New Roman" w:hAnsi="Open Sans" w:cs="Open Sans"/>
          <w:color w:val="000000"/>
          <w:lang w:eastAsia="en-GB"/>
        </w:rPr>
      </w:pPr>
      <w:r>
        <w:rPr>
          <w:rFonts w:ascii="Open Sans" w:eastAsia="Times New Roman" w:hAnsi="Open Sans" w:cs="Open Sans"/>
          <w:color w:val="000000"/>
          <w:lang w:eastAsia="en-GB"/>
        </w:rPr>
        <w:t xml:space="preserve">Update received Friday 2 May </w:t>
      </w:r>
    </w:p>
    <w:p w14:paraId="2AA10B74" w14:textId="77777777" w:rsidR="001F2A6F" w:rsidRPr="001F2A6F" w:rsidRDefault="001F2A6F" w:rsidP="001F2A6F">
      <w:pPr>
        <w:spacing w:after="0" w:line="240" w:lineRule="auto"/>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 xml:space="preserve">The interim report submitted to Government by the borough and district councils said creating multiple unitary authorities for Suffolk would achieve greater outcomes for residents, grow the economy and provide flexible solutions to meet the needs of local communities – in a way that a single mega-council covering a vast geographical area would fail to do. </w:t>
      </w:r>
    </w:p>
    <w:p w14:paraId="7F411DD4" w14:textId="77777777" w:rsidR="001F2A6F" w:rsidRPr="001F2A6F" w:rsidRDefault="001F2A6F" w:rsidP="001F2A6F">
      <w:pPr>
        <w:spacing w:after="0" w:line="240" w:lineRule="auto"/>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 xml:space="preserve"> </w:t>
      </w:r>
    </w:p>
    <w:p w14:paraId="0022532B" w14:textId="77777777" w:rsidR="001F2A6F" w:rsidRPr="001F2A6F" w:rsidRDefault="001F2A6F" w:rsidP="001F2A6F">
      <w:pPr>
        <w:spacing w:after="0" w:line="240" w:lineRule="auto"/>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 xml:space="preserve">Multi unitary authorities will provide: </w:t>
      </w:r>
    </w:p>
    <w:p w14:paraId="3FDD438E" w14:textId="77777777" w:rsidR="001F2A6F" w:rsidRPr="001F2A6F" w:rsidRDefault="001F2A6F" w:rsidP="001F2A6F">
      <w:pPr>
        <w:spacing w:after="0" w:line="240" w:lineRule="auto"/>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w:t>
      </w:r>
      <w:r w:rsidRPr="001F2A6F">
        <w:rPr>
          <w:rFonts w:ascii="Open Sans" w:eastAsia="Times New Roman" w:hAnsi="Open Sans" w:cs="Open Sans"/>
          <w:color w:val="000000"/>
          <w:lang w:eastAsia="en-GB"/>
        </w:rPr>
        <w:tab/>
        <w:t>localism and neighbourhood delivery</w:t>
      </w:r>
      <w:r w:rsidRPr="001F2A6F">
        <w:rPr>
          <w:rFonts w:ascii="Arial" w:eastAsia="Times New Roman" w:hAnsi="Arial" w:cs="Arial"/>
          <w:color w:val="000000"/>
          <w:lang w:eastAsia="en-GB"/>
        </w:rPr>
        <w:t> </w:t>
      </w:r>
      <w:r w:rsidRPr="001F2A6F">
        <w:rPr>
          <w:rFonts w:ascii="Open Sans" w:eastAsia="Times New Roman" w:hAnsi="Open Sans" w:cs="Open Sans"/>
          <w:color w:val="000000"/>
          <w:lang w:eastAsia="en-GB"/>
        </w:rPr>
        <w:t xml:space="preserve"> </w:t>
      </w:r>
    </w:p>
    <w:p w14:paraId="26757B80" w14:textId="77777777" w:rsidR="001F2A6F" w:rsidRPr="001F2A6F" w:rsidRDefault="001F2A6F" w:rsidP="001F2A6F">
      <w:pPr>
        <w:spacing w:after="0" w:line="240" w:lineRule="auto"/>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w:t>
      </w:r>
      <w:r w:rsidRPr="001F2A6F">
        <w:rPr>
          <w:rFonts w:ascii="Open Sans" w:eastAsia="Times New Roman" w:hAnsi="Open Sans" w:cs="Open Sans"/>
          <w:color w:val="000000"/>
          <w:lang w:eastAsia="en-GB"/>
        </w:rPr>
        <w:tab/>
        <w:t xml:space="preserve">cost effective and high-quality services for Suffolk residents </w:t>
      </w:r>
    </w:p>
    <w:p w14:paraId="040FA85B" w14:textId="77777777" w:rsidR="001F2A6F" w:rsidRPr="001F2A6F" w:rsidRDefault="001F2A6F" w:rsidP="001F2A6F">
      <w:pPr>
        <w:spacing w:after="0" w:line="240" w:lineRule="auto"/>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w:t>
      </w:r>
      <w:r w:rsidRPr="001F2A6F">
        <w:rPr>
          <w:rFonts w:ascii="Open Sans" w:eastAsia="Times New Roman" w:hAnsi="Open Sans" w:cs="Open Sans"/>
          <w:color w:val="000000"/>
          <w:lang w:eastAsia="en-GB"/>
        </w:rPr>
        <w:tab/>
        <w:t xml:space="preserve">long term financial sustainability </w:t>
      </w:r>
    </w:p>
    <w:p w14:paraId="67BA7024" w14:textId="77777777" w:rsidR="001F2A6F" w:rsidRPr="001F2A6F" w:rsidRDefault="001F2A6F" w:rsidP="001F2A6F">
      <w:pPr>
        <w:spacing w:after="0" w:line="240" w:lineRule="auto"/>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w:t>
      </w:r>
      <w:r w:rsidRPr="001F2A6F">
        <w:rPr>
          <w:rFonts w:ascii="Open Sans" w:eastAsia="Times New Roman" w:hAnsi="Open Sans" w:cs="Open Sans"/>
          <w:color w:val="000000"/>
          <w:lang w:eastAsia="en-GB"/>
        </w:rPr>
        <w:tab/>
        <w:t xml:space="preserve">economic growth and support to local industry </w:t>
      </w:r>
    </w:p>
    <w:p w14:paraId="766D010C" w14:textId="77777777" w:rsidR="001F2A6F" w:rsidRPr="001F2A6F" w:rsidRDefault="001F2A6F" w:rsidP="001F2A6F">
      <w:pPr>
        <w:spacing w:after="0" w:line="240" w:lineRule="auto"/>
        <w:ind w:left="720" w:hanging="720"/>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w:t>
      </w:r>
      <w:r w:rsidRPr="001F2A6F">
        <w:rPr>
          <w:rFonts w:ascii="Open Sans" w:eastAsia="Times New Roman" w:hAnsi="Open Sans" w:cs="Open Sans"/>
          <w:color w:val="000000"/>
          <w:lang w:eastAsia="en-GB"/>
        </w:rPr>
        <w:tab/>
        <w:t xml:space="preserve">stronger democratic representation, community engagement and neighbourhood empowerment </w:t>
      </w:r>
    </w:p>
    <w:p w14:paraId="4ECE1FBF" w14:textId="77777777" w:rsidR="001F2A6F" w:rsidRPr="001F2A6F" w:rsidRDefault="001F2A6F" w:rsidP="001F2A6F">
      <w:pPr>
        <w:spacing w:after="0" w:line="240" w:lineRule="auto"/>
        <w:ind w:left="720" w:hanging="720"/>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w:t>
      </w:r>
      <w:r w:rsidRPr="001F2A6F">
        <w:rPr>
          <w:rFonts w:ascii="Open Sans" w:eastAsia="Times New Roman" w:hAnsi="Open Sans" w:cs="Open Sans"/>
          <w:color w:val="000000"/>
          <w:lang w:eastAsia="en-GB"/>
        </w:rPr>
        <w:tab/>
        <w:t xml:space="preserve">governance and support systems which can adapt to future aspirations and sustainable growth </w:t>
      </w:r>
    </w:p>
    <w:p w14:paraId="54A4BBED" w14:textId="77777777" w:rsidR="001F2A6F" w:rsidRPr="001F2A6F" w:rsidRDefault="001F2A6F" w:rsidP="001F2A6F">
      <w:pPr>
        <w:spacing w:after="0" w:line="240" w:lineRule="auto"/>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w:t>
      </w:r>
      <w:r w:rsidRPr="001F2A6F">
        <w:rPr>
          <w:rFonts w:ascii="Open Sans" w:eastAsia="Times New Roman" w:hAnsi="Open Sans" w:cs="Open Sans"/>
          <w:color w:val="000000"/>
          <w:lang w:eastAsia="en-GB"/>
        </w:rPr>
        <w:tab/>
        <w:t xml:space="preserve">ambitions to drive progress, innovation, and long-term success </w:t>
      </w:r>
    </w:p>
    <w:p w14:paraId="4ECA4F42" w14:textId="77777777" w:rsidR="001F2A6F" w:rsidRPr="001F2A6F" w:rsidRDefault="001F2A6F" w:rsidP="001F2A6F">
      <w:pPr>
        <w:spacing w:after="0" w:line="240" w:lineRule="auto"/>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w:t>
      </w:r>
      <w:r w:rsidRPr="001F2A6F">
        <w:rPr>
          <w:rFonts w:ascii="Open Sans" w:eastAsia="Times New Roman" w:hAnsi="Open Sans" w:cs="Open Sans"/>
          <w:color w:val="000000"/>
          <w:lang w:eastAsia="en-GB"/>
        </w:rPr>
        <w:tab/>
        <w:t xml:space="preserve">structures to support and enable thriving communities and economies. </w:t>
      </w:r>
    </w:p>
    <w:p w14:paraId="424F80DA" w14:textId="77777777" w:rsidR="001F2A6F" w:rsidRPr="001F2A6F" w:rsidRDefault="001F2A6F" w:rsidP="001F2A6F">
      <w:pPr>
        <w:spacing w:after="0" w:line="240" w:lineRule="auto"/>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 xml:space="preserve"> </w:t>
      </w:r>
    </w:p>
    <w:p w14:paraId="7F0EF7EB" w14:textId="77777777" w:rsidR="001F2A6F" w:rsidRPr="001F2A6F" w:rsidRDefault="001F2A6F" w:rsidP="001F2A6F">
      <w:pPr>
        <w:spacing w:after="0" w:line="240" w:lineRule="auto"/>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 xml:space="preserve">Multiple unitary authorities would ensure strong democratic representation, whereas one council would be too remote for residents to be heard. It offers the best solution to ensure decision makers and the communities they represent remain at the heart of local government and guarantees that services are designed and delivered in a tailored way, built on local knowledge. Resulting in both value for money and better outcomes. </w:t>
      </w:r>
    </w:p>
    <w:p w14:paraId="7C49F292" w14:textId="77777777" w:rsidR="001F2A6F" w:rsidRPr="001F2A6F" w:rsidRDefault="001F2A6F" w:rsidP="001F2A6F">
      <w:pPr>
        <w:spacing w:after="0" w:line="240" w:lineRule="auto"/>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 xml:space="preserve"> </w:t>
      </w:r>
    </w:p>
    <w:p w14:paraId="3660E5DF" w14:textId="21FF1754" w:rsidR="001F2A6F" w:rsidRDefault="001F2A6F" w:rsidP="001F2A6F">
      <w:pPr>
        <w:spacing w:after="0" w:line="240" w:lineRule="auto"/>
        <w:rPr>
          <w:rFonts w:ascii="Open Sans" w:eastAsia="Times New Roman" w:hAnsi="Open Sans" w:cs="Open Sans"/>
          <w:color w:val="000000"/>
          <w:lang w:eastAsia="en-GB"/>
        </w:rPr>
      </w:pPr>
      <w:r w:rsidRPr="001F2A6F">
        <w:rPr>
          <w:rFonts w:ascii="Open Sans" w:eastAsia="Times New Roman" w:hAnsi="Open Sans" w:cs="Open Sans"/>
          <w:color w:val="000000"/>
          <w:lang w:eastAsia="en-GB"/>
        </w:rPr>
        <w:t>A multiple unitary model also offers a balanced approach to the governance of the Norfolk and Suffolk Mayoral Combined Authority, ensuring fair representation for Suffolk residents.</w:t>
      </w:r>
    </w:p>
    <w:p w14:paraId="7990712A" w14:textId="77777777" w:rsidR="00BA4541" w:rsidRDefault="00BA4541" w:rsidP="00D04564">
      <w:pPr>
        <w:pBdr>
          <w:bottom w:val="single" w:sz="4" w:space="1" w:color="auto"/>
        </w:pBdr>
        <w:spacing w:line="252" w:lineRule="auto"/>
        <w:rPr>
          <w:rFonts w:ascii="Open Sans" w:eastAsia="Times New Roman" w:hAnsi="Open Sans" w:cs="Open Sans"/>
          <w:color w:val="000000"/>
          <w:lang w:eastAsia="en-GB"/>
        </w:rPr>
      </w:pPr>
    </w:p>
    <w:p w14:paraId="05C22150" w14:textId="08B55E3D" w:rsidR="000A6114" w:rsidRDefault="00DC770F" w:rsidP="000A6114">
      <w:pPr>
        <w:spacing w:line="252" w:lineRule="auto"/>
        <w:rPr>
          <w:rFonts w:ascii="Open Sans" w:eastAsia="Times New Roman" w:hAnsi="Open Sans" w:cs="Open Sans"/>
          <w:b/>
          <w:color w:val="000000"/>
          <w:lang w:eastAsia="en-GB"/>
        </w:rPr>
      </w:pPr>
      <w:r>
        <w:rPr>
          <w:rFonts w:ascii="Open Sans" w:eastAsia="Times New Roman" w:hAnsi="Open Sans" w:cs="Open Sans"/>
          <w:b/>
          <w:color w:val="000000"/>
          <w:lang w:eastAsia="en-GB"/>
        </w:rPr>
        <w:t xml:space="preserve">A briefing pack for Planning for the Future has been produced for Mid Suffolk and </w:t>
      </w:r>
      <w:proofErr w:type="spellStart"/>
      <w:r>
        <w:rPr>
          <w:rFonts w:ascii="Open Sans" w:eastAsia="Times New Roman" w:hAnsi="Open Sans" w:cs="Open Sans"/>
          <w:b/>
          <w:color w:val="000000"/>
          <w:lang w:eastAsia="en-GB"/>
        </w:rPr>
        <w:t>Babergh</w:t>
      </w:r>
      <w:proofErr w:type="spellEnd"/>
      <w:r>
        <w:rPr>
          <w:rFonts w:ascii="Open Sans" w:eastAsia="Times New Roman" w:hAnsi="Open Sans" w:cs="Open Sans"/>
          <w:b/>
          <w:color w:val="000000"/>
          <w:lang w:eastAsia="en-GB"/>
        </w:rPr>
        <w:t>.</w:t>
      </w:r>
    </w:p>
    <w:p w14:paraId="0F58018E" w14:textId="74A6DF3B" w:rsidR="00DC770F" w:rsidRDefault="00DC770F" w:rsidP="000A6114">
      <w:pPr>
        <w:spacing w:line="252" w:lineRule="auto"/>
        <w:rPr>
          <w:rFonts w:ascii="Open Sans" w:eastAsia="Times New Roman" w:hAnsi="Open Sans" w:cs="Open Sans"/>
          <w:bCs/>
          <w:color w:val="000000"/>
          <w:lang w:eastAsia="en-GB"/>
        </w:rPr>
      </w:pPr>
      <w:r>
        <w:rPr>
          <w:rFonts w:ascii="Open Sans" w:eastAsia="Times New Roman" w:hAnsi="Open Sans" w:cs="Open Sans"/>
          <w:bCs/>
          <w:color w:val="000000"/>
          <w:lang w:eastAsia="en-GB"/>
        </w:rPr>
        <w:t>The briefing pack outlines the numbers of additional housing that is being called for with the latest government drive to increase house building</w:t>
      </w:r>
      <w:r w:rsidR="005237BA">
        <w:rPr>
          <w:rFonts w:ascii="Open Sans" w:eastAsia="Times New Roman" w:hAnsi="Open Sans" w:cs="Open Sans"/>
          <w:bCs/>
          <w:color w:val="000000"/>
          <w:lang w:eastAsia="en-GB"/>
        </w:rPr>
        <w:t xml:space="preserve"> over the next </w:t>
      </w:r>
      <w:proofErr w:type="gramStart"/>
      <w:r w:rsidR="005237BA">
        <w:rPr>
          <w:rFonts w:ascii="Open Sans" w:eastAsia="Times New Roman" w:hAnsi="Open Sans" w:cs="Open Sans"/>
          <w:bCs/>
          <w:color w:val="000000"/>
          <w:lang w:eastAsia="en-GB"/>
        </w:rPr>
        <w:t>20 year</w:t>
      </w:r>
      <w:proofErr w:type="gramEnd"/>
      <w:r w:rsidR="005237BA">
        <w:rPr>
          <w:rFonts w:ascii="Open Sans" w:eastAsia="Times New Roman" w:hAnsi="Open Sans" w:cs="Open Sans"/>
          <w:bCs/>
          <w:color w:val="000000"/>
          <w:lang w:eastAsia="en-GB"/>
        </w:rPr>
        <w:t xml:space="preserve"> period.</w:t>
      </w:r>
    </w:p>
    <w:p w14:paraId="35593A22" w14:textId="77777777" w:rsidR="00DC770F" w:rsidRDefault="00DC770F" w:rsidP="000A6114">
      <w:pPr>
        <w:spacing w:line="252" w:lineRule="auto"/>
        <w:rPr>
          <w:rFonts w:ascii="Open Sans" w:eastAsia="Times New Roman" w:hAnsi="Open Sans" w:cs="Open Sans"/>
          <w:bCs/>
          <w:color w:val="000000"/>
          <w:lang w:eastAsia="en-GB"/>
        </w:rPr>
      </w:pPr>
    </w:p>
    <w:tbl>
      <w:tblPr>
        <w:tblStyle w:val="TableGrid"/>
        <w:tblW w:w="0" w:type="auto"/>
        <w:tblLook w:val="04A0" w:firstRow="1" w:lastRow="0" w:firstColumn="1" w:lastColumn="0" w:noHBand="0" w:noVBand="1"/>
      </w:tblPr>
      <w:tblGrid>
        <w:gridCol w:w="1803"/>
        <w:gridCol w:w="1803"/>
        <w:gridCol w:w="1803"/>
        <w:gridCol w:w="1803"/>
        <w:gridCol w:w="1804"/>
      </w:tblGrid>
      <w:tr w:rsidR="00DC770F" w14:paraId="6DA5D6AB" w14:textId="77777777" w:rsidTr="00DC770F">
        <w:tc>
          <w:tcPr>
            <w:tcW w:w="1803" w:type="dxa"/>
          </w:tcPr>
          <w:p w14:paraId="6A8E2FE5" w14:textId="3F61A67E" w:rsidR="00DC770F" w:rsidRDefault="00DC770F" w:rsidP="00DC770F">
            <w:pPr>
              <w:spacing w:line="252" w:lineRule="auto"/>
              <w:rPr>
                <w:rFonts w:ascii="Open Sans" w:eastAsia="Times New Roman" w:hAnsi="Open Sans" w:cs="Open Sans"/>
                <w:bCs/>
                <w:color w:val="000000"/>
                <w:lang w:eastAsia="en-GB"/>
              </w:rPr>
            </w:pPr>
            <w:r w:rsidRPr="00C74714">
              <w:lastRenderedPageBreak/>
              <w:t xml:space="preserve">Parish (ONS labelled) </w:t>
            </w:r>
          </w:p>
        </w:tc>
        <w:tc>
          <w:tcPr>
            <w:tcW w:w="1803" w:type="dxa"/>
          </w:tcPr>
          <w:p w14:paraId="6BD0484B" w14:textId="5DA1607F" w:rsidR="00DC770F" w:rsidRDefault="00DC770F" w:rsidP="00DC770F">
            <w:pPr>
              <w:spacing w:line="252" w:lineRule="auto"/>
              <w:rPr>
                <w:rFonts w:ascii="Open Sans" w:eastAsia="Times New Roman" w:hAnsi="Open Sans" w:cs="Open Sans"/>
                <w:bCs/>
                <w:color w:val="000000"/>
                <w:lang w:eastAsia="en-GB"/>
              </w:rPr>
            </w:pPr>
            <w:r w:rsidRPr="00C74714">
              <w:t xml:space="preserve">Indicative requirement over 20- year period </w:t>
            </w:r>
          </w:p>
        </w:tc>
        <w:tc>
          <w:tcPr>
            <w:tcW w:w="1803" w:type="dxa"/>
          </w:tcPr>
          <w:p w14:paraId="307258DD" w14:textId="7DEEBBDF" w:rsidR="00DC770F" w:rsidRDefault="00DC770F" w:rsidP="00DC770F">
            <w:pPr>
              <w:spacing w:line="252" w:lineRule="auto"/>
              <w:rPr>
                <w:rFonts w:ascii="Open Sans" w:eastAsia="Times New Roman" w:hAnsi="Open Sans" w:cs="Open Sans"/>
                <w:bCs/>
                <w:color w:val="000000"/>
                <w:lang w:eastAsia="en-GB"/>
              </w:rPr>
            </w:pPr>
            <w:r w:rsidRPr="00C74714">
              <w:t xml:space="preserve">Identified residual dwellings (on commenced sites) </w:t>
            </w:r>
          </w:p>
        </w:tc>
        <w:tc>
          <w:tcPr>
            <w:tcW w:w="1803" w:type="dxa"/>
          </w:tcPr>
          <w:p w14:paraId="2DC7D441" w14:textId="068168A4" w:rsidR="00DC770F" w:rsidRDefault="00DC770F" w:rsidP="00DC770F">
            <w:pPr>
              <w:spacing w:line="252" w:lineRule="auto"/>
              <w:rPr>
                <w:rFonts w:ascii="Open Sans" w:eastAsia="Times New Roman" w:hAnsi="Open Sans" w:cs="Open Sans"/>
                <w:bCs/>
                <w:color w:val="000000"/>
                <w:lang w:eastAsia="en-GB"/>
              </w:rPr>
            </w:pPr>
            <w:r w:rsidRPr="00C74714">
              <w:t xml:space="preserve">Permitted residual dwellings (on not started sites)2 </w:t>
            </w:r>
          </w:p>
        </w:tc>
        <w:tc>
          <w:tcPr>
            <w:tcW w:w="1804" w:type="dxa"/>
          </w:tcPr>
          <w:p w14:paraId="66267D67" w14:textId="2D981BB8" w:rsidR="00DC770F" w:rsidRDefault="00DC770F" w:rsidP="00DC770F">
            <w:pPr>
              <w:spacing w:line="252" w:lineRule="auto"/>
              <w:rPr>
                <w:rFonts w:ascii="Open Sans" w:eastAsia="Times New Roman" w:hAnsi="Open Sans" w:cs="Open Sans"/>
                <w:bCs/>
                <w:color w:val="000000"/>
                <w:lang w:eastAsia="en-GB"/>
              </w:rPr>
            </w:pPr>
            <w:r w:rsidRPr="00C74714">
              <w:t xml:space="preserve">Indicative requirement minus permitted dwellings </w:t>
            </w:r>
          </w:p>
        </w:tc>
      </w:tr>
      <w:tr w:rsidR="00DC770F" w14:paraId="5F85DBC1" w14:textId="77777777" w:rsidTr="00DC770F">
        <w:tc>
          <w:tcPr>
            <w:tcW w:w="1803" w:type="dxa"/>
          </w:tcPr>
          <w:p w14:paraId="0E2960CD" w14:textId="677C4AAB" w:rsidR="00DC770F" w:rsidRDefault="00DC770F" w:rsidP="00DC770F">
            <w:pPr>
              <w:spacing w:line="252" w:lineRule="auto"/>
              <w:rPr>
                <w:rFonts w:ascii="Open Sans" w:eastAsia="Times New Roman" w:hAnsi="Open Sans" w:cs="Open Sans"/>
                <w:bCs/>
                <w:color w:val="000000"/>
                <w:lang w:eastAsia="en-GB"/>
              </w:rPr>
            </w:pPr>
            <w:r>
              <w:rPr>
                <w:rFonts w:ascii="Open Sans" w:eastAsia="Times New Roman" w:hAnsi="Open Sans" w:cs="Open Sans"/>
                <w:bCs/>
                <w:color w:val="000000"/>
                <w:lang w:eastAsia="en-GB"/>
              </w:rPr>
              <w:t>Buxhall</w:t>
            </w:r>
          </w:p>
        </w:tc>
        <w:tc>
          <w:tcPr>
            <w:tcW w:w="1803" w:type="dxa"/>
          </w:tcPr>
          <w:p w14:paraId="6473438E" w14:textId="6C9261E6"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70</w:t>
            </w:r>
          </w:p>
        </w:tc>
        <w:tc>
          <w:tcPr>
            <w:tcW w:w="1803" w:type="dxa"/>
          </w:tcPr>
          <w:p w14:paraId="34F3896F" w14:textId="46C2B62E"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4</w:t>
            </w:r>
          </w:p>
        </w:tc>
        <w:tc>
          <w:tcPr>
            <w:tcW w:w="1803" w:type="dxa"/>
          </w:tcPr>
          <w:p w14:paraId="7DEC41E9" w14:textId="36D3E5D8"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w:t>
            </w:r>
          </w:p>
        </w:tc>
        <w:tc>
          <w:tcPr>
            <w:tcW w:w="1804" w:type="dxa"/>
          </w:tcPr>
          <w:p w14:paraId="6BA978A2" w14:textId="044F1B07"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66</w:t>
            </w:r>
          </w:p>
        </w:tc>
      </w:tr>
      <w:tr w:rsidR="00DC770F" w14:paraId="703C6CB8" w14:textId="77777777" w:rsidTr="00DC770F">
        <w:tc>
          <w:tcPr>
            <w:tcW w:w="1803" w:type="dxa"/>
          </w:tcPr>
          <w:p w14:paraId="2D4C7386" w14:textId="46150BDF" w:rsidR="00DC770F" w:rsidRDefault="00DC770F" w:rsidP="000A6114">
            <w:pPr>
              <w:spacing w:line="252" w:lineRule="auto"/>
              <w:rPr>
                <w:rFonts w:ascii="Open Sans" w:eastAsia="Times New Roman" w:hAnsi="Open Sans" w:cs="Open Sans"/>
                <w:bCs/>
                <w:color w:val="000000"/>
                <w:lang w:eastAsia="en-GB"/>
              </w:rPr>
            </w:pPr>
            <w:r>
              <w:rPr>
                <w:rFonts w:ascii="Open Sans" w:eastAsia="Times New Roman" w:hAnsi="Open Sans" w:cs="Open Sans"/>
                <w:bCs/>
                <w:color w:val="000000"/>
                <w:lang w:eastAsia="en-GB"/>
              </w:rPr>
              <w:t>Drinkstone</w:t>
            </w:r>
          </w:p>
        </w:tc>
        <w:tc>
          <w:tcPr>
            <w:tcW w:w="1803" w:type="dxa"/>
          </w:tcPr>
          <w:p w14:paraId="68F8B18C" w14:textId="1C90C131"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80</w:t>
            </w:r>
          </w:p>
        </w:tc>
        <w:tc>
          <w:tcPr>
            <w:tcW w:w="1803" w:type="dxa"/>
          </w:tcPr>
          <w:p w14:paraId="27C027D8" w14:textId="78502A4C"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4</w:t>
            </w:r>
          </w:p>
        </w:tc>
        <w:tc>
          <w:tcPr>
            <w:tcW w:w="1803" w:type="dxa"/>
          </w:tcPr>
          <w:p w14:paraId="11C55719" w14:textId="367399F9"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3</w:t>
            </w:r>
          </w:p>
        </w:tc>
        <w:tc>
          <w:tcPr>
            <w:tcW w:w="1804" w:type="dxa"/>
          </w:tcPr>
          <w:p w14:paraId="5AAB1473" w14:textId="2EC9D255"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73</w:t>
            </w:r>
          </w:p>
        </w:tc>
      </w:tr>
      <w:tr w:rsidR="00DC770F" w14:paraId="41EA676E" w14:textId="77777777" w:rsidTr="00DC770F">
        <w:tc>
          <w:tcPr>
            <w:tcW w:w="1803" w:type="dxa"/>
          </w:tcPr>
          <w:p w14:paraId="5923D317" w14:textId="31AE7DEC" w:rsidR="00DC770F" w:rsidRDefault="00DC770F" w:rsidP="000A6114">
            <w:pPr>
              <w:spacing w:line="252" w:lineRule="auto"/>
              <w:rPr>
                <w:rFonts w:ascii="Open Sans" w:eastAsia="Times New Roman" w:hAnsi="Open Sans" w:cs="Open Sans"/>
                <w:bCs/>
                <w:color w:val="000000"/>
                <w:lang w:eastAsia="en-GB"/>
              </w:rPr>
            </w:pPr>
            <w:r>
              <w:rPr>
                <w:rFonts w:ascii="Open Sans" w:eastAsia="Times New Roman" w:hAnsi="Open Sans" w:cs="Open Sans"/>
                <w:bCs/>
                <w:color w:val="000000"/>
                <w:lang w:eastAsia="en-GB"/>
              </w:rPr>
              <w:t>Felsham</w:t>
            </w:r>
          </w:p>
        </w:tc>
        <w:tc>
          <w:tcPr>
            <w:tcW w:w="1803" w:type="dxa"/>
          </w:tcPr>
          <w:p w14:paraId="4E660A1F" w14:textId="3A36E34B"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70</w:t>
            </w:r>
          </w:p>
        </w:tc>
        <w:tc>
          <w:tcPr>
            <w:tcW w:w="1803" w:type="dxa"/>
          </w:tcPr>
          <w:p w14:paraId="3B9F2F43" w14:textId="66BA79ED"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1</w:t>
            </w:r>
          </w:p>
        </w:tc>
        <w:tc>
          <w:tcPr>
            <w:tcW w:w="1803" w:type="dxa"/>
          </w:tcPr>
          <w:p w14:paraId="64E4FBAC" w14:textId="1AE47675"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3</w:t>
            </w:r>
          </w:p>
        </w:tc>
        <w:tc>
          <w:tcPr>
            <w:tcW w:w="1804" w:type="dxa"/>
          </w:tcPr>
          <w:p w14:paraId="3F97E9A0" w14:textId="43C4EB7C"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66</w:t>
            </w:r>
          </w:p>
        </w:tc>
      </w:tr>
      <w:tr w:rsidR="00DC770F" w14:paraId="25E9B828" w14:textId="77777777" w:rsidTr="00DC770F">
        <w:tc>
          <w:tcPr>
            <w:tcW w:w="1803" w:type="dxa"/>
          </w:tcPr>
          <w:p w14:paraId="588ECBAA" w14:textId="00C2C495" w:rsidR="00DC770F" w:rsidRDefault="00DC770F" w:rsidP="000A6114">
            <w:pPr>
              <w:spacing w:line="252" w:lineRule="auto"/>
              <w:rPr>
                <w:rFonts w:ascii="Open Sans" w:eastAsia="Times New Roman" w:hAnsi="Open Sans" w:cs="Open Sans"/>
                <w:bCs/>
                <w:color w:val="000000"/>
                <w:lang w:eastAsia="en-GB"/>
              </w:rPr>
            </w:pPr>
            <w:proofErr w:type="spellStart"/>
            <w:r>
              <w:rPr>
                <w:rFonts w:ascii="Open Sans" w:eastAsia="Times New Roman" w:hAnsi="Open Sans" w:cs="Open Sans"/>
                <w:bCs/>
                <w:color w:val="000000"/>
                <w:lang w:eastAsia="en-GB"/>
              </w:rPr>
              <w:t>Gedding</w:t>
            </w:r>
            <w:proofErr w:type="spellEnd"/>
          </w:p>
        </w:tc>
        <w:tc>
          <w:tcPr>
            <w:tcW w:w="1803" w:type="dxa"/>
          </w:tcPr>
          <w:p w14:paraId="79281764" w14:textId="47A78793"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20</w:t>
            </w:r>
          </w:p>
        </w:tc>
        <w:tc>
          <w:tcPr>
            <w:tcW w:w="1803" w:type="dxa"/>
          </w:tcPr>
          <w:p w14:paraId="121640FB" w14:textId="0108F3AA"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1</w:t>
            </w:r>
          </w:p>
        </w:tc>
        <w:tc>
          <w:tcPr>
            <w:tcW w:w="1803" w:type="dxa"/>
          </w:tcPr>
          <w:p w14:paraId="7AC79527" w14:textId="4F786B64"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w:t>
            </w:r>
          </w:p>
        </w:tc>
        <w:tc>
          <w:tcPr>
            <w:tcW w:w="1804" w:type="dxa"/>
          </w:tcPr>
          <w:p w14:paraId="55B1ED4E" w14:textId="3987585A" w:rsidR="00DC770F" w:rsidRDefault="00DC770F"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19</w:t>
            </w:r>
          </w:p>
        </w:tc>
      </w:tr>
      <w:tr w:rsidR="00DC770F" w14:paraId="754BB2E3" w14:textId="77777777" w:rsidTr="00DC770F">
        <w:tc>
          <w:tcPr>
            <w:tcW w:w="1803" w:type="dxa"/>
          </w:tcPr>
          <w:p w14:paraId="124AA2D0" w14:textId="5ED2A345" w:rsidR="00DC770F" w:rsidRDefault="00DC770F" w:rsidP="000A6114">
            <w:pPr>
              <w:spacing w:line="252" w:lineRule="auto"/>
              <w:rPr>
                <w:rFonts w:ascii="Open Sans" w:eastAsia="Times New Roman" w:hAnsi="Open Sans" w:cs="Open Sans"/>
                <w:bCs/>
                <w:color w:val="000000"/>
                <w:lang w:eastAsia="en-GB"/>
              </w:rPr>
            </w:pPr>
            <w:r>
              <w:rPr>
                <w:rFonts w:ascii="Open Sans" w:eastAsia="Times New Roman" w:hAnsi="Open Sans" w:cs="Open Sans"/>
                <w:bCs/>
                <w:color w:val="000000"/>
                <w:lang w:eastAsia="en-GB"/>
              </w:rPr>
              <w:t>Hessett</w:t>
            </w:r>
          </w:p>
        </w:tc>
        <w:tc>
          <w:tcPr>
            <w:tcW w:w="1803" w:type="dxa"/>
          </w:tcPr>
          <w:p w14:paraId="5454B597" w14:textId="1708210B" w:rsidR="00DC770F" w:rsidRDefault="005237BA"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60</w:t>
            </w:r>
          </w:p>
        </w:tc>
        <w:tc>
          <w:tcPr>
            <w:tcW w:w="1803" w:type="dxa"/>
          </w:tcPr>
          <w:p w14:paraId="50C74C41" w14:textId="2DE86682" w:rsidR="00DC770F" w:rsidRDefault="005237BA"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w:t>
            </w:r>
          </w:p>
        </w:tc>
        <w:tc>
          <w:tcPr>
            <w:tcW w:w="1803" w:type="dxa"/>
          </w:tcPr>
          <w:p w14:paraId="08C530C2" w14:textId="47B155F4" w:rsidR="00DC770F" w:rsidRDefault="005237BA"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w:t>
            </w:r>
          </w:p>
        </w:tc>
        <w:tc>
          <w:tcPr>
            <w:tcW w:w="1804" w:type="dxa"/>
          </w:tcPr>
          <w:p w14:paraId="0FEC3F79" w14:textId="72CB7F5A" w:rsidR="00DC770F" w:rsidRDefault="005237BA"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60</w:t>
            </w:r>
          </w:p>
        </w:tc>
      </w:tr>
      <w:tr w:rsidR="00DC770F" w14:paraId="5E9404AD" w14:textId="77777777" w:rsidTr="00DC770F">
        <w:tc>
          <w:tcPr>
            <w:tcW w:w="1803" w:type="dxa"/>
          </w:tcPr>
          <w:p w14:paraId="0C4F69A6" w14:textId="63E5B304" w:rsidR="00DC770F" w:rsidRDefault="005237BA" w:rsidP="000A6114">
            <w:pPr>
              <w:spacing w:line="252" w:lineRule="auto"/>
              <w:rPr>
                <w:rFonts w:ascii="Open Sans" w:eastAsia="Times New Roman" w:hAnsi="Open Sans" w:cs="Open Sans"/>
                <w:bCs/>
                <w:color w:val="000000"/>
                <w:lang w:eastAsia="en-GB"/>
              </w:rPr>
            </w:pPr>
            <w:r>
              <w:rPr>
                <w:rFonts w:ascii="Open Sans" w:eastAsia="Times New Roman" w:hAnsi="Open Sans" w:cs="Open Sans"/>
                <w:bCs/>
                <w:color w:val="000000"/>
                <w:lang w:eastAsia="en-GB"/>
              </w:rPr>
              <w:t>Rattlesden</w:t>
            </w:r>
          </w:p>
        </w:tc>
        <w:tc>
          <w:tcPr>
            <w:tcW w:w="1803" w:type="dxa"/>
          </w:tcPr>
          <w:p w14:paraId="5D94CF42" w14:textId="0559502C" w:rsidR="00DC770F" w:rsidRDefault="005237BA"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140</w:t>
            </w:r>
          </w:p>
        </w:tc>
        <w:tc>
          <w:tcPr>
            <w:tcW w:w="1803" w:type="dxa"/>
          </w:tcPr>
          <w:p w14:paraId="30DFFB88" w14:textId="4E655F95" w:rsidR="00DC770F" w:rsidRDefault="005237BA"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8</w:t>
            </w:r>
          </w:p>
        </w:tc>
        <w:tc>
          <w:tcPr>
            <w:tcW w:w="1803" w:type="dxa"/>
          </w:tcPr>
          <w:p w14:paraId="1BC1611B" w14:textId="76261AEB" w:rsidR="00DC770F" w:rsidRDefault="005237BA"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12</w:t>
            </w:r>
          </w:p>
        </w:tc>
        <w:tc>
          <w:tcPr>
            <w:tcW w:w="1804" w:type="dxa"/>
          </w:tcPr>
          <w:p w14:paraId="64B71456" w14:textId="65B6E80C" w:rsidR="00DC770F" w:rsidRDefault="005237BA" w:rsidP="00DC770F">
            <w:pPr>
              <w:spacing w:line="252" w:lineRule="auto"/>
              <w:jc w:val="center"/>
              <w:rPr>
                <w:rFonts w:ascii="Open Sans" w:eastAsia="Times New Roman" w:hAnsi="Open Sans" w:cs="Open Sans"/>
                <w:bCs/>
                <w:color w:val="000000"/>
                <w:lang w:eastAsia="en-GB"/>
              </w:rPr>
            </w:pPr>
            <w:r>
              <w:rPr>
                <w:rFonts w:ascii="Open Sans" w:eastAsia="Times New Roman" w:hAnsi="Open Sans" w:cs="Open Sans"/>
                <w:bCs/>
                <w:color w:val="000000"/>
                <w:lang w:eastAsia="en-GB"/>
              </w:rPr>
              <w:t>120</w:t>
            </w:r>
          </w:p>
        </w:tc>
      </w:tr>
      <w:tr w:rsidR="00DC770F" w14:paraId="0C418AEB" w14:textId="77777777" w:rsidTr="00DC770F">
        <w:tc>
          <w:tcPr>
            <w:tcW w:w="1803" w:type="dxa"/>
          </w:tcPr>
          <w:p w14:paraId="6F844E17" w14:textId="77777777" w:rsidR="00DC770F" w:rsidRDefault="00DC770F" w:rsidP="000A6114">
            <w:pPr>
              <w:spacing w:line="252" w:lineRule="auto"/>
              <w:rPr>
                <w:rFonts w:ascii="Open Sans" w:eastAsia="Times New Roman" w:hAnsi="Open Sans" w:cs="Open Sans"/>
                <w:bCs/>
                <w:color w:val="000000"/>
                <w:lang w:eastAsia="en-GB"/>
              </w:rPr>
            </w:pPr>
          </w:p>
        </w:tc>
        <w:tc>
          <w:tcPr>
            <w:tcW w:w="1803" w:type="dxa"/>
          </w:tcPr>
          <w:p w14:paraId="41B4C21D" w14:textId="77777777" w:rsidR="00DC770F" w:rsidRDefault="00DC770F" w:rsidP="00DC770F">
            <w:pPr>
              <w:spacing w:line="252" w:lineRule="auto"/>
              <w:jc w:val="center"/>
              <w:rPr>
                <w:rFonts w:ascii="Open Sans" w:eastAsia="Times New Roman" w:hAnsi="Open Sans" w:cs="Open Sans"/>
                <w:bCs/>
                <w:color w:val="000000"/>
                <w:lang w:eastAsia="en-GB"/>
              </w:rPr>
            </w:pPr>
          </w:p>
        </w:tc>
        <w:tc>
          <w:tcPr>
            <w:tcW w:w="1803" w:type="dxa"/>
          </w:tcPr>
          <w:p w14:paraId="4E87B2D1" w14:textId="77777777" w:rsidR="00DC770F" w:rsidRDefault="00DC770F" w:rsidP="00DC770F">
            <w:pPr>
              <w:spacing w:line="252" w:lineRule="auto"/>
              <w:jc w:val="center"/>
              <w:rPr>
                <w:rFonts w:ascii="Open Sans" w:eastAsia="Times New Roman" w:hAnsi="Open Sans" w:cs="Open Sans"/>
                <w:bCs/>
                <w:color w:val="000000"/>
                <w:lang w:eastAsia="en-GB"/>
              </w:rPr>
            </w:pPr>
          </w:p>
        </w:tc>
        <w:tc>
          <w:tcPr>
            <w:tcW w:w="1803" w:type="dxa"/>
          </w:tcPr>
          <w:p w14:paraId="46E3E56D" w14:textId="77777777" w:rsidR="00DC770F" w:rsidRDefault="00DC770F" w:rsidP="00DC770F">
            <w:pPr>
              <w:spacing w:line="252" w:lineRule="auto"/>
              <w:jc w:val="center"/>
              <w:rPr>
                <w:rFonts w:ascii="Open Sans" w:eastAsia="Times New Roman" w:hAnsi="Open Sans" w:cs="Open Sans"/>
                <w:bCs/>
                <w:color w:val="000000"/>
                <w:lang w:eastAsia="en-GB"/>
              </w:rPr>
            </w:pPr>
          </w:p>
        </w:tc>
        <w:tc>
          <w:tcPr>
            <w:tcW w:w="1804" w:type="dxa"/>
          </w:tcPr>
          <w:p w14:paraId="2FE556D9" w14:textId="77777777" w:rsidR="00DC770F" w:rsidRDefault="00DC770F" w:rsidP="00DC770F">
            <w:pPr>
              <w:spacing w:line="252" w:lineRule="auto"/>
              <w:jc w:val="center"/>
              <w:rPr>
                <w:rFonts w:ascii="Open Sans" w:eastAsia="Times New Roman" w:hAnsi="Open Sans" w:cs="Open Sans"/>
                <w:bCs/>
                <w:color w:val="000000"/>
                <w:lang w:eastAsia="en-GB"/>
              </w:rPr>
            </w:pPr>
          </w:p>
        </w:tc>
      </w:tr>
      <w:tr w:rsidR="00DC770F" w14:paraId="30B2F041" w14:textId="77777777" w:rsidTr="00DC770F">
        <w:tc>
          <w:tcPr>
            <w:tcW w:w="1803" w:type="dxa"/>
          </w:tcPr>
          <w:p w14:paraId="497B02CE" w14:textId="77777777" w:rsidR="00DC770F" w:rsidRDefault="00DC770F" w:rsidP="000A6114">
            <w:pPr>
              <w:spacing w:line="252" w:lineRule="auto"/>
              <w:rPr>
                <w:rFonts w:ascii="Open Sans" w:eastAsia="Times New Roman" w:hAnsi="Open Sans" w:cs="Open Sans"/>
                <w:bCs/>
                <w:color w:val="000000"/>
                <w:lang w:eastAsia="en-GB"/>
              </w:rPr>
            </w:pPr>
          </w:p>
        </w:tc>
        <w:tc>
          <w:tcPr>
            <w:tcW w:w="1803" w:type="dxa"/>
          </w:tcPr>
          <w:p w14:paraId="0F2783D6" w14:textId="77777777" w:rsidR="00DC770F" w:rsidRDefault="00DC770F" w:rsidP="00DC770F">
            <w:pPr>
              <w:spacing w:line="252" w:lineRule="auto"/>
              <w:jc w:val="center"/>
              <w:rPr>
                <w:rFonts w:ascii="Open Sans" w:eastAsia="Times New Roman" w:hAnsi="Open Sans" w:cs="Open Sans"/>
                <w:bCs/>
                <w:color w:val="000000"/>
                <w:lang w:eastAsia="en-GB"/>
              </w:rPr>
            </w:pPr>
          </w:p>
        </w:tc>
        <w:tc>
          <w:tcPr>
            <w:tcW w:w="1803" w:type="dxa"/>
          </w:tcPr>
          <w:p w14:paraId="79F96AE7" w14:textId="77777777" w:rsidR="00DC770F" w:rsidRDefault="00DC770F" w:rsidP="00DC770F">
            <w:pPr>
              <w:spacing w:line="252" w:lineRule="auto"/>
              <w:jc w:val="center"/>
              <w:rPr>
                <w:rFonts w:ascii="Open Sans" w:eastAsia="Times New Roman" w:hAnsi="Open Sans" w:cs="Open Sans"/>
                <w:bCs/>
                <w:color w:val="000000"/>
                <w:lang w:eastAsia="en-GB"/>
              </w:rPr>
            </w:pPr>
          </w:p>
        </w:tc>
        <w:tc>
          <w:tcPr>
            <w:tcW w:w="1803" w:type="dxa"/>
          </w:tcPr>
          <w:p w14:paraId="708708AA" w14:textId="77777777" w:rsidR="00DC770F" w:rsidRDefault="00DC770F" w:rsidP="00DC770F">
            <w:pPr>
              <w:spacing w:line="252" w:lineRule="auto"/>
              <w:jc w:val="center"/>
              <w:rPr>
                <w:rFonts w:ascii="Open Sans" w:eastAsia="Times New Roman" w:hAnsi="Open Sans" w:cs="Open Sans"/>
                <w:bCs/>
                <w:color w:val="000000"/>
                <w:lang w:eastAsia="en-GB"/>
              </w:rPr>
            </w:pPr>
          </w:p>
        </w:tc>
        <w:tc>
          <w:tcPr>
            <w:tcW w:w="1804" w:type="dxa"/>
          </w:tcPr>
          <w:p w14:paraId="07645F91" w14:textId="77777777" w:rsidR="00DC770F" w:rsidRDefault="00DC770F" w:rsidP="00DC770F">
            <w:pPr>
              <w:spacing w:line="252" w:lineRule="auto"/>
              <w:jc w:val="center"/>
              <w:rPr>
                <w:rFonts w:ascii="Open Sans" w:eastAsia="Times New Roman" w:hAnsi="Open Sans" w:cs="Open Sans"/>
                <w:bCs/>
                <w:color w:val="000000"/>
                <w:lang w:eastAsia="en-GB"/>
              </w:rPr>
            </w:pPr>
          </w:p>
        </w:tc>
      </w:tr>
    </w:tbl>
    <w:p w14:paraId="1CF087E3" w14:textId="77777777" w:rsidR="00DC770F" w:rsidRDefault="00DC770F" w:rsidP="000A6114">
      <w:pPr>
        <w:spacing w:line="252" w:lineRule="auto"/>
        <w:rPr>
          <w:rFonts w:ascii="Open Sans" w:eastAsia="Times New Roman" w:hAnsi="Open Sans" w:cs="Open Sans"/>
          <w:bCs/>
          <w:color w:val="000000"/>
          <w:lang w:eastAsia="en-GB"/>
        </w:rPr>
      </w:pPr>
    </w:p>
    <w:p w14:paraId="260B2711" w14:textId="6D6B8212" w:rsidR="00DC770F" w:rsidRDefault="005237BA" w:rsidP="005237BA">
      <w:pPr>
        <w:spacing w:line="252" w:lineRule="auto"/>
        <w:rPr>
          <w:rFonts w:ascii="Open Sans" w:eastAsia="Times New Roman" w:hAnsi="Open Sans" w:cs="Open Sans"/>
          <w:bCs/>
          <w:color w:val="000000"/>
          <w:lang w:eastAsia="en-GB"/>
        </w:rPr>
      </w:pPr>
      <w:r>
        <w:rPr>
          <w:rFonts w:ascii="Open Sans" w:eastAsia="Times New Roman" w:hAnsi="Open Sans" w:cs="Open Sans"/>
          <w:bCs/>
          <w:color w:val="000000"/>
          <w:lang w:eastAsia="en-GB"/>
        </w:rPr>
        <w:t>Developing and updating neighbourhood plans is advised.</w:t>
      </w:r>
    </w:p>
    <w:p w14:paraId="44DCD17F" w14:textId="77777777" w:rsidR="005237BA" w:rsidRDefault="005237BA" w:rsidP="005237BA">
      <w:pPr>
        <w:pBdr>
          <w:bottom w:val="single" w:sz="4" w:space="1" w:color="auto"/>
        </w:pBdr>
        <w:spacing w:line="252" w:lineRule="auto"/>
        <w:rPr>
          <w:rFonts w:ascii="Open Sans" w:eastAsia="Times New Roman" w:hAnsi="Open Sans" w:cs="Open Sans"/>
          <w:bCs/>
          <w:color w:val="000000"/>
          <w:lang w:eastAsia="en-GB"/>
        </w:rPr>
      </w:pPr>
    </w:p>
    <w:p w14:paraId="670C4C0A" w14:textId="2894BEE1" w:rsidR="00DC770F" w:rsidRDefault="005237BA" w:rsidP="005237BA">
      <w:pPr>
        <w:spacing w:line="252" w:lineRule="auto"/>
        <w:rPr>
          <w:rFonts w:ascii="Open Sans" w:eastAsia="Times New Roman" w:hAnsi="Open Sans" w:cs="Open Sans"/>
          <w:b/>
          <w:color w:val="000000"/>
          <w:lang w:eastAsia="en-GB"/>
        </w:rPr>
      </w:pPr>
      <w:r w:rsidRPr="005237BA">
        <w:rPr>
          <w:rFonts w:ascii="Open Sans" w:eastAsia="Times New Roman" w:hAnsi="Open Sans" w:cs="Open Sans"/>
          <w:b/>
          <w:color w:val="000000"/>
          <w:lang w:eastAsia="en-GB"/>
        </w:rPr>
        <w:t>New-look grant sees more than £580k given to community projects</w:t>
      </w:r>
    </w:p>
    <w:p w14:paraId="376FC347" w14:textId="746E2B0D" w:rsidR="005237BA" w:rsidRDefault="005237BA" w:rsidP="005237BA">
      <w:pPr>
        <w:spacing w:line="252" w:lineRule="auto"/>
        <w:rPr>
          <w:rFonts w:ascii="Open Sans" w:eastAsia="Times New Roman" w:hAnsi="Open Sans" w:cs="Open Sans"/>
          <w:bCs/>
          <w:color w:val="000000"/>
          <w:lang w:eastAsia="en-GB"/>
        </w:rPr>
      </w:pPr>
      <w:r w:rsidRPr="005237BA">
        <w:rPr>
          <w:rFonts w:ascii="Open Sans" w:eastAsia="Times New Roman" w:hAnsi="Open Sans" w:cs="Open Sans"/>
          <w:bCs/>
          <w:color w:val="000000"/>
          <w:lang w:eastAsia="en-GB"/>
        </w:rPr>
        <w:t xml:space="preserve">From filmmaking workshops to mental health support for young people, dozens of community projects across </w:t>
      </w:r>
      <w:proofErr w:type="spellStart"/>
      <w:r w:rsidRPr="005237BA">
        <w:rPr>
          <w:rFonts w:ascii="Open Sans" w:eastAsia="Times New Roman" w:hAnsi="Open Sans" w:cs="Open Sans"/>
          <w:bCs/>
          <w:color w:val="000000"/>
          <w:lang w:eastAsia="en-GB"/>
        </w:rPr>
        <w:t>Babergh</w:t>
      </w:r>
      <w:proofErr w:type="spellEnd"/>
      <w:r w:rsidRPr="005237BA">
        <w:rPr>
          <w:rFonts w:ascii="Open Sans" w:eastAsia="Times New Roman" w:hAnsi="Open Sans" w:cs="Open Sans"/>
          <w:bCs/>
          <w:color w:val="000000"/>
          <w:lang w:eastAsia="en-GB"/>
        </w:rPr>
        <w:t xml:space="preserve"> and Mid Suffolk have received a share of more than £580,000 as part of a new grant from the district councils.</w:t>
      </w:r>
    </w:p>
    <w:p w14:paraId="33F46C9E" w14:textId="77777777" w:rsidR="005237BA" w:rsidRPr="005237BA" w:rsidRDefault="005237BA" w:rsidP="005237BA">
      <w:pPr>
        <w:spacing w:line="252" w:lineRule="auto"/>
        <w:rPr>
          <w:rFonts w:ascii="Open Sans" w:eastAsia="Times New Roman" w:hAnsi="Open Sans" w:cs="Open Sans"/>
          <w:bCs/>
          <w:color w:val="000000"/>
          <w:lang w:eastAsia="en-GB"/>
        </w:rPr>
      </w:pPr>
      <w:r w:rsidRPr="005237BA">
        <w:rPr>
          <w:rFonts w:ascii="Open Sans" w:eastAsia="Times New Roman" w:hAnsi="Open Sans" w:cs="Open Sans"/>
          <w:bCs/>
          <w:color w:val="000000"/>
          <w:lang w:eastAsia="en-GB"/>
        </w:rPr>
        <w:t>The Community Development Fund has been introduced to coincide with the start of the 2025/26 financial year and aims to streamline how council grants are administered.</w:t>
      </w:r>
    </w:p>
    <w:p w14:paraId="42F7C63C" w14:textId="77777777" w:rsidR="005237BA" w:rsidRPr="005237BA" w:rsidRDefault="005237BA" w:rsidP="005237BA">
      <w:pPr>
        <w:spacing w:line="252" w:lineRule="auto"/>
        <w:rPr>
          <w:rFonts w:ascii="Open Sans" w:eastAsia="Times New Roman" w:hAnsi="Open Sans" w:cs="Open Sans"/>
          <w:bCs/>
          <w:color w:val="000000"/>
          <w:lang w:eastAsia="en-GB"/>
        </w:rPr>
      </w:pPr>
      <w:r w:rsidRPr="005237BA">
        <w:rPr>
          <w:rFonts w:ascii="Open Sans" w:eastAsia="Times New Roman" w:hAnsi="Open Sans" w:cs="Open Sans"/>
          <w:bCs/>
          <w:color w:val="000000"/>
          <w:lang w:eastAsia="en-GB"/>
        </w:rPr>
        <w:t>Previously, grants had been separated between ‘capital’ and ‘revenue’ funding, but the new Community Development fund encompasses both, making the application process simpler for organisations to complete and receive the funding they need.</w:t>
      </w:r>
    </w:p>
    <w:p w14:paraId="367CC7A9" w14:textId="77777777" w:rsidR="005237BA" w:rsidRPr="005237BA" w:rsidRDefault="005237BA" w:rsidP="005237BA">
      <w:pPr>
        <w:spacing w:line="252" w:lineRule="auto"/>
        <w:rPr>
          <w:rFonts w:ascii="Open Sans" w:eastAsia="Times New Roman" w:hAnsi="Open Sans" w:cs="Open Sans"/>
          <w:bCs/>
          <w:color w:val="000000"/>
          <w:lang w:eastAsia="en-GB"/>
        </w:rPr>
      </w:pPr>
      <w:r w:rsidRPr="005237BA">
        <w:rPr>
          <w:rFonts w:ascii="Open Sans" w:eastAsia="Times New Roman" w:hAnsi="Open Sans" w:cs="Open Sans"/>
          <w:bCs/>
          <w:color w:val="000000"/>
          <w:lang w:eastAsia="en-GB"/>
        </w:rPr>
        <w:t>Local VCFSE (voluntary, community, faith and social enterprise) organisations could apply for up to £20,000 toward new or existing projects that provide important services and support to their communities.</w:t>
      </w:r>
    </w:p>
    <w:p w14:paraId="6C046C64" w14:textId="77777777" w:rsidR="005237BA" w:rsidRPr="005237BA" w:rsidRDefault="005237BA" w:rsidP="005237BA">
      <w:pPr>
        <w:spacing w:line="252" w:lineRule="auto"/>
        <w:rPr>
          <w:rFonts w:ascii="Open Sans" w:eastAsia="Times New Roman" w:hAnsi="Open Sans" w:cs="Open Sans"/>
          <w:bCs/>
          <w:color w:val="000000"/>
          <w:lang w:eastAsia="en-GB"/>
        </w:rPr>
      </w:pPr>
      <w:r w:rsidRPr="005237BA">
        <w:rPr>
          <w:rFonts w:ascii="Open Sans" w:eastAsia="Times New Roman" w:hAnsi="Open Sans" w:cs="Open Sans"/>
          <w:bCs/>
          <w:color w:val="000000"/>
          <w:lang w:eastAsia="en-GB"/>
        </w:rPr>
        <w:t xml:space="preserve">In total, £583,412.41 has been allocated across the districts, with £271,479.91 shared between 23 projects in </w:t>
      </w:r>
      <w:proofErr w:type="spellStart"/>
      <w:r w:rsidRPr="005237BA">
        <w:rPr>
          <w:rFonts w:ascii="Open Sans" w:eastAsia="Times New Roman" w:hAnsi="Open Sans" w:cs="Open Sans"/>
          <w:bCs/>
          <w:color w:val="000000"/>
          <w:lang w:eastAsia="en-GB"/>
        </w:rPr>
        <w:t>Babergh</w:t>
      </w:r>
      <w:proofErr w:type="spellEnd"/>
      <w:r w:rsidRPr="005237BA">
        <w:rPr>
          <w:rFonts w:ascii="Open Sans" w:eastAsia="Times New Roman" w:hAnsi="Open Sans" w:cs="Open Sans"/>
          <w:bCs/>
          <w:color w:val="000000"/>
          <w:lang w:eastAsia="en-GB"/>
        </w:rPr>
        <w:t xml:space="preserve"> and £311,932.50 between 16 projects in Mid Suffolk.</w:t>
      </w:r>
    </w:p>
    <w:p w14:paraId="00BF3BE8" w14:textId="77777777" w:rsidR="005237BA" w:rsidRPr="005237BA" w:rsidRDefault="005237BA" w:rsidP="005237BA">
      <w:pPr>
        <w:spacing w:line="252" w:lineRule="auto"/>
        <w:rPr>
          <w:rFonts w:ascii="Open Sans" w:eastAsia="Times New Roman" w:hAnsi="Open Sans" w:cs="Open Sans"/>
          <w:bCs/>
          <w:color w:val="000000"/>
          <w:lang w:eastAsia="en-GB"/>
        </w:rPr>
      </w:pPr>
      <w:r w:rsidRPr="005237BA">
        <w:rPr>
          <w:rFonts w:ascii="Open Sans" w:eastAsia="Times New Roman" w:hAnsi="Open Sans" w:cs="Open Sans"/>
          <w:bCs/>
          <w:color w:val="000000"/>
          <w:lang w:eastAsia="en-GB"/>
        </w:rPr>
        <w:t>These awards include two larger allocations of £100,000 to Sudbury &amp; District Citizens Advice and £125,500 to Mid Suffolk Citizens Advice as legacy partners of the councils, recognising the vital work of these organisations and ensuring that they have the funding they need to keep serving those in the districts.</w:t>
      </w:r>
    </w:p>
    <w:p w14:paraId="7AFFF754" w14:textId="12E5AFFA" w:rsidR="005237BA" w:rsidRDefault="005237BA" w:rsidP="005237BA">
      <w:pPr>
        <w:spacing w:line="252" w:lineRule="auto"/>
        <w:rPr>
          <w:rFonts w:ascii="Open Sans" w:eastAsia="Times New Roman" w:hAnsi="Open Sans" w:cs="Open Sans"/>
          <w:bCs/>
          <w:color w:val="000000"/>
          <w:lang w:eastAsia="en-GB"/>
        </w:rPr>
      </w:pPr>
      <w:hyperlink r:id="rId8" w:history="1">
        <w:r w:rsidRPr="00D313E8">
          <w:rPr>
            <w:rStyle w:val="Hyperlink"/>
            <w:rFonts w:ascii="Open Sans" w:eastAsia="Times New Roman" w:hAnsi="Open Sans" w:cs="Open Sans"/>
            <w:bCs/>
            <w:lang w:eastAsia="en-GB"/>
          </w:rPr>
          <w:t>https://www.midsuffolk.gov.uk/community-funding</w:t>
        </w:r>
      </w:hyperlink>
      <w:r>
        <w:rPr>
          <w:rFonts w:ascii="Open Sans" w:eastAsia="Times New Roman" w:hAnsi="Open Sans" w:cs="Open Sans"/>
          <w:bCs/>
          <w:color w:val="000000"/>
          <w:lang w:eastAsia="en-GB"/>
        </w:rPr>
        <w:t xml:space="preserve"> </w:t>
      </w:r>
    </w:p>
    <w:p w14:paraId="24A0C0BF" w14:textId="77777777" w:rsidR="005237BA" w:rsidRDefault="005237BA" w:rsidP="005237BA">
      <w:pPr>
        <w:spacing w:line="252" w:lineRule="auto"/>
        <w:rPr>
          <w:rFonts w:ascii="Open Sans" w:eastAsia="Times New Roman" w:hAnsi="Open Sans" w:cs="Open Sans"/>
          <w:bCs/>
          <w:color w:val="000000"/>
          <w:lang w:eastAsia="en-GB"/>
        </w:rPr>
      </w:pPr>
    </w:p>
    <w:p w14:paraId="4DA0BF72" w14:textId="05A39351" w:rsidR="005237BA" w:rsidRPr="005237BA" w:rsidRDefault="005237BA" w:rsidP="005237BA">
      <w:pPr>
        <w:spacing w:line="252" w:lineRule="auto"/>
        <w:rPr>
          <w:rFonts w:ascii="Open Sans" w:eastAsia="Times New Roman" w:hAnsi="Open Sans" w:cs="Open Sans"/>
          <w:b/>
          <w:color w:val="000000"/>
          <w:lang w:eastAsia="en-GB"/>
        </w:rPr>
      </w:pPr>
      <w:r w:rsidRPr="005237BA">
        <w:rPr>
          <w:rFonts w:ascii="Open Sans" w:eastAsia="Times New Roman" w:hAnsi="Open Sans" w:cs="Open Sans"/>
          <w:b/>
          <w:color w:val="000000"/>
          <w:lang w:eastAsia="en-GB"/>
        </w:rPr>
        <w:t>A reminder that I have now been issued with this year’s Locality Budget to support activities and groups in the Rattlesden Ward.</w:t>
      </w:r>
    </w:p>
    <w:sectPr w:rsidR="005237BA" w:rsidRPr="005237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0A3DB" w14:textId="77777777" w:rsidR="000822CA" w:rsidRDefault="000822CA" w:rsidP="007C4E13">
      <w:pPr>
        <w:spacing w:after="0" w:line="240" w:lineRule="auto"/>
      </w:pPr>
      <w:r>
        <w:separator/>
      </w:r>
    </w:p>
  </w:endnote>
  <w:endnote w:type="continuationSeparator" w:id="0">
    <w:p w14:paraId="3EEEF37D" w14:textId="77777777" w:rsidR="000822CA" w:rsidRDefault="000822CA" w:rsidP="007C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7B0DC" w14:textId="77777777" w:rsidR="000822CA" w:rsidRDefault="000822CA" w:rsidP="007C4E13">
      <w:pPr>
        <w:spacing w:after="0" w:line="240" w:lineRule="auto"/>
      </w:pPr>
      <w:r>
        <w:separator/>
      </w:r>
    </w:p>
  </w:footnote>
  <w:footnote w:type="continuationSeparator" w:id="0">
    <w:p w14:paraId="6DB1F9FD" w14:textId="77777777" w:rsidR="000822CA" w:rsidRDefault="000822CA" w:rsidP="007C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821"/>
    <w:multiLevelType w:val="hybridMultilevel"/>
    <w:tmpl w:val="2572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034C46"/>
    <w:multiLevelType w:val="hybridMultilevel"/>
    <w:tmpl w:val="98A0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93F12"/>
    <w:multiLevelType w:val="hybridMultilevel"/>
    <w:tmpl w:val="55BE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0500669">
    <w:abstractNumId w:val="3"/>
  </w:num>
  <w:num w:numId="2" w16cid:durableId="416177318">
    <w:abstractNumId w:val="2"/>
  </w:num>
  <w:num w:numId="3" w16cid:durableId="1780032025">
    <w:abstractNumId w:val="0"/>
  </w:num>
  <w:num w:numId="4" w16cid:durableId="117591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7E"/>
    <w:rsid w:val="00025474"/>
    <w:rsid w:val="000822CA"/>
    <w:rsid w:val="00094000"/>
    <w:rsid w:val="000A6114"/>
    <w:rsid w:val="000F0BC2"/>
    <w:rsid w:val="00106FA8"/>
    <w:rsid w:val="001243CA"/>
    <w:rsid w:val="001911AE"/>
    <w:rsid w:val="001A2414"/>
    <w:rsid w:val="001A307E"/>
    <w:rsid w:val="001C22A7"/>
    <w:rsid w:val="001E5EA2"/>
    <w:rsid w:val="001F2A6F"/>
    <w:rsid w:val="00216D87"/>
    <w:rsid w:val="0022085F"/>
    <w:rsid w:val="00230AEA"/>
    <w:rsid w:val="00244BA7"/>
    <w:rsid w:val="00276945"/>
    <w:rsid w:val="002842C1"/>
    <w:rsid w:val="0029383B"/>
    <w:rsid w:val="002C438D"/>
    <w:rsid w:val="002E0370"/>
    <w:rsid w:val="002F6856"/>
    <w:rsid w:val="00365EE7"/>
    <w:rsid w:val="00377615"/>
    <w:rsid w:val="003B2D78"/>
    <w:rsid w:val="003C7B10"/>
    <w:rsid w:val="003E4973"/>
    <w:rsid w:val="00421821"/>
    <w:rsid w:val="00484F4B"/>
    <w:rsid w:val="00494B89"/>
    <w:rsid w:val="004C469C"/>
    <w:rsid w:val="004D1F56"/>
    <w:rsid w:val="004E2BC4"/>
    <w:rsid w:val="005132C9"/>
    <w:rsid w:val="005237BA"/>
    <w:rsid w:val="00560EC8"/>
    <w:rsid w:val="00596728"/>
    <w:rsid w:val="005C5C2B"/>
    <w:rsid w:val="006A5412"/>
    <w:rsid w:val="006A64C1"/>
    <w:rsid w:val="006C39A4"/>
    <w:rsid w:val="00732B20"/>
    <w:rsid w:val="0073349B"/>
    <w:rsid w:val="00743073"/>
    <w:rsid w:val="00796DDF"/>
    <w:rsid w:val="007C4E13"/>
    <w:rsid w:val="00827B41"/>
    <w:rsid w:val="00840CC6"/>
    <w:rsid w:val="0085140F"/>
    <w:rsid w:val="00855286"/>
    <w:rsid w:val="00876455"/>
    <w:rsid w:val="008B6596"/>
    <w:rsid w:val="008C1DDD"/>
    <w:rsid w:val="008E03A8"/>
    <w:rsid w:val="00930E3A"/>
    <w:rsid w:val="00946CE4"/>
    <w:rsid w:val="009A1134"/>
    <w:rsid w:val="009B1F56"/>
    <w:rsid w:val="009E5758"/>
    <w:rsid w:val="00A07A38"/>
    <w:rsid w:val="00A33638"/>
    <w:rsid w:val="00A428E7"/>
    <w:rsid w:val="00B0664A"/>
    <w:rsid w:val="00B15012"/>
    <w:rsid w:val="00B15C25"/>
    <w:rsid w:val="00B50B2D"/>
    <w:rsid w:val="00B548BC"/>
    <w:rsid w:val="00B951EC"/>
    <w:rsid w:val="00BA4541"/>
    <w:rsid w:val="00BC22F2"/>
    <w:rsid w:val="00BD6F89"/>
    <w:rsid w:val="00C06CDC"/>
    <w:rsid w:val="00C16336"/>
    <w:rsid w:val="00C4719A"/>
    <w:rsid w:val="00C55720"/>
    <w:rsid w:val="00C625D9"/>
    <w:rsid w:val="00CE506B"/>
    <w:rsid w:val="00D02491"/>
    <w:rsid w:val="00D04564"/>
    <w:rsid w:val="00D21916"/>
    <w:rsid w:val="00D36581"/>
    <w:rsid w:val="00DC770F"/>
    <w:rsid w:val="00DD2D28"/>
    <w:rsid w:val="00DD7374"/>
    <w:rsid w:val="00DF0A09"/>
    <w:rsid w:val="00E71317"/>
    <w:rsid w:val="00E86441"/>
    <w:rsid w:val="00EB1063"/>
    <w:rsid w:val="00EB43F5"/>
    <w:rsid w:val="00FB5C8E"/>
    <w:rsid w:val="00FD5512"/>
    <w:rsid w:val="00FE1F02"/>
    <w:rsid w:val="00F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30CA"/>
  <w15:chartTrackingRefBased/>
  <w15:docId w15:val="{28D8B059-B225-40D3-BDD8-DC2921D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7E"/>
    <w:rPr>
      <w:color w:val="0563C1" w:themeColor="hyperlink"/>
      <w:u w:val="single"/>
    </w:rPr>
  </w:style>
  <w:style w:type="paragraph" w:styleId="Header">
    <w:name w:val="header"/>
    <w:basedOn w:val="Normal"/>
    <w:link w:val="HeaderChar"/>
    <w:uiPriority w:val="99"/>
    <w:unhideWhenUsed/>
    <w:rsid w:val="007C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13"/>
  </w:style>
  <w:style w:type="paragraph" w:styleId="Footer">
    <w:name w:val="footer"/>
    <w:basedOn w:val="Normal"/>
    <w:link w:val="FooterChar"/>
    <w:uiPriority w:val="99"/>
    <w:unhideWhenUsed/>
    <w:rsid w:val="007C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13"/>
  </w:style>
  <w:style w:type="table" w:styleId="TableGrid">
    <w:name w:val="Table Grid"/>
    <w:basedOn w:val="TableNormal"/>
    <w:uiPriority w:val="39"/>
    <w:rsid w:val="00D2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4564"/>
    <w:rPr>
      <w:color w:val="605E5C"/>
      <w:shd w:val="clear" w:color="auto" w:fill="E1DFDD"/>
    </w:rPr>
  </w:style>
  <w:style w:type="paragraph" w:styleId="ListParagraph">
    <w:name w:val="List Paragraph"/>
    <w:basedOn w:val="Normal"/>
    <w:uiPriority w:val="34"/>
    <w:qFormat/>
    <w:rsid w:val="00C06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64473">
      <w:bodyDiv w:val="1"/>
      <w:marLeft w:val="0"/>
      <w:marRight w:val="0"/>
      <w:marTop w:val="0"/>
      <w:marBottom w:val="0"/>
      <w:divBdr>
        <w:top w:val="none" w:sz="0" w:space="0" w:color="auto"/>
        <w:left w:val="none" w:sz="0" w:space="0" w:color="auto"/>
        <w:bottom w:val="none" w:sz="0" w:space="0" w:color="auto"/>
        <w:right w:val="none" w:sz="0" w:space="0" w:color="auto"/>
      </w:divBdr>
    </w:div>
    <w:div w:id="399912599">
      <w:bodyDiv w:val="1"/>
      <w:marLeft w:val="0"/>
      <w:marRight w:val="0"/>
      <w:marTop w:val="0"/>
      <w:marBottom w:val="0"/>
      <w:divBdr>
        <w:top w:val="none" w:sz="0" w:space="0" w:color="auto"/>
        <w:left w:val="none" w:sz="0" w:space="0" w:color="auto"/>
        <w:bottom w:val="none" w:sz="0" w:space="0" w:color="auto"/>
        <w:right w:val="none" w:sz="0" w:space="0" w:color="auto"/>
      </w:divBdr>
    </w:div>
    <w:div w:id="1022392902">
      <w:bodyDiv w:val="1"/>
      <w:marLeft w:val="0"/>
      <w:marRight w:val="0"/>
      <w:marTop w:val="0"/>
      <w:marBottom w:val="0"/>
      <w:divBdr>
        <w:top w:val="none" w:sz="0" w:space="0" w:color="auto"/>
        <w:left w:val="none" w:sz="0" w:space="0" w:color="auto"/>
        <w:bottom w:val="none" w:sz="0" w:space="0" w:color="auto"/>
        <w:right w:val="none" w:sz="0" w:space="0" w:color="auto"/>
      </w:divBdr>
    </w:div>
    <w:div w:id="1792477829">
      <w:bodyDiv w:val="1"/>
      <w:marLeft w:val="0"/>
      <w:marRight w:val="0"/>
      <w:marTop w:val="0"/>
      <w:marBottom w:val="0"/>
      <w:divBdr>
        <w:top w:val="none" w:sz="0" w:space="0" w:color="auto"/>
        <w:left w:val="none" w:sz="0" w:space="0" w:color="auto"/>
        <w:bottom w:val="none" w:sz="0" w:space="0" w:color="auto"/>
        <w:right w:val="none" w:sz="0" w:space="0" w:color="auto"/>
      </w:divBdr>
    </w:div>
    <w:div w:id="1973366071">
      <w:bodyDiv w:val="1"/>
      <w:marLeft w:val="0"/>
      <w:marRight w:val="0"/>
      <w:marTop w:val="0"/>
      <w:marBottom w:val="0"/>
      <w:divBdr>
        <w:top w:val="none" w:sz="0" w:space="0" w:color="auto"/>
        <w:left w:val="none" w:sz="0" w:space="0" w:color="auto"/>
        <w:bottom w:val="none" w:sz="0" w:space="0" w:color="auto"/>
        <w:right w:val="none" w:sz="0" w:space="0" w:color="auto"/>
      </w:divBdr>
    </w:div>
    <w:div w:id="2058889576">
      <w:bodyDiv w:val="1"/>
      <w:marLeft w:val="0"/>
      <w:marRight w:val="0"/>
      <w:marTop w:val="0"/>
      <w:marBottom w:val="0"/>
      <w:divBdr>
        <w:top w:val="none" w:sz="0" w:space="0" w:color="auto"/>
        <w:left w:val="none" w:sz="0" w:space="0" w:color="auto"/>
        <w:bottom w:val="none" w:sz="0" w:space="0" w:color="auto"/>
        <w:right w:val="none" w:sz="0" w:space="0" w:color="auto"/>
      </w:divBdr>
    </w:div>
    <w:div w:id="208891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suffolk.gov.uk/community-funding" TargetMode="External"/><Relationship Id="rId3" Type="http://schemas.openxmlformats.org/officeDocument/2006/relationships/settings" Target="settings.xml"/><Relationship Id="rId7" Type="http://schemas.openxmlformats.org/officeDocument/2006/relationships/hyperlink" Target="mailto:Nicky.Willshere@Midsuf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Willshere</dc:creator>
  <cp:keywords/>
  <dc:description/>
  <cp:lastModifiedBy>Hessett Parish Council</cp:lastModifiedBy>
  <cp:revision>2</cp:revision>
  <dcterms:created xsi:type="dcterms:W3CDTF">2025-05-23T11:08:00Z</dcterms:created>
  <dcterms:modified xsi:type="dcterms:W3CDTF">2025-05-23T11:08:00Z</dcterms:modified>
</cp:coreProperties>
</file>